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FD" w:rsidRDefault="00341FFD" w:rsidP="00341FFD">
      <w:pPr>
        <w:ind w:firstLine="594"/>
        <w:jc w:val="center"/>
        <w:rPr>
          <w:rFonts w:ascii="微软雅黑" w:eastAsia="微软雅黑" w:hAnsi="微软雅黑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124200" cy="2085975"/>
            <wp:effectExtent l="0" t="0" r="0" b="9525"/>
            <wp:wrapTopAndBottom/>
            <wp:docPr id="1" name="图片 1" descr="C:\Users\yuany16\AppData\Local\Microsoft\Windows\Temporary Internet Files\Content.Word\resizeHR-X0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any16\AppData\Local\Microsoft\Windows\Temporary Internet Files\Content.Word\resizeHR-X04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微软雅黑" w:eastAsia="微软雅黑" w:hAnsi="微软雅黑" w:hint="eastAsia"/>
          <w:b/>
          <w:bCs/>
        </w:rPr>
        <w:t>Prismaflex</w:t>
      </w:r>
      <w:proofErr w:type="spellEnd"/>
      <w:r>
        <w:rPr>
          <w:rFonts w:ascii="微软雅黑" w:eastAsia="微软雅黑" w:hAnsi="微软雅黑" w:hint="eastAsia"/>
          <w:b/>
          <w:bCs/>
        </w:rPr>
        <w:t xml:space="preserve"> ST 配套产品说明</w:t>
      </w:r>
    </w:p>
    <w:p w:rsidR="00341FFD" w:rsidRDefault="00341FFD" w:rsidP="00341FFD">
      <w:pPr>
        <w:spacing w:beforeLines="50" w:before="156"/>
        <w:ind w:firstLine="594"/>
        <w:jc w:val="center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</w:rPr>
        <w:t>体外血液净化治疗通常需要抗凝，普通肝素因为应用和来源简易是目</w:t>
      </w:r>
      <w:bookmarkStart w:id="0" w:name="_GoBack"/>
      <w:bookmarkEnd w:id="0"/>
      <w:r>
        <w:rPr>
          <w:rFonts w:ascii="微软雅黑" w:eastAsia="微软雅黑" w:hAnsi="微软雅黑" w:hint="eastAsia"/>
        </w:rPr>
        <w:t>前最常用的抗凝剂。CRRT治疗的患者是一个非常复杂的群体，需综合考虑出血风险、凝血功能、基础疾病和不同的</w:t>
      </w:r>
      <w:proofErr w:type="gramStart"/>
      <w:r>
        <w:rPr>
          <w:rFonts w:ascii="微软雅黑" w:eastAsia="微软雅黑" w:hAnsi="微软雅黑" w:hint="eastAsia"/>
        </w:rPr>
        <w:t>抗凝指</w:t>
      </w:r>
      <w:proofErr w:type="gramEnd"/>
      <w:r>
        <w:rPr>
          <w:rFonts w:ascii="微软雅黑" w:eastAsia="微软雅黑" w:hAnsi="微软雅黑" w:hint="eastAsia"/>
        </w:rPr>
        <w:t>征等多种因素，权衡抗凝本身风险（出血、药物副作用如肝素诱导的血小板减少症）和滤器凝血（疗效降低、失血和血流动力影响、工作量和费用等）之间的关系，同时结合CRRT的时间、模式、滤过膜、治疗剂量和血流量等制定个性化的抗凝方案。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 w:hint="eastAsia"/>
          <w:b/>
          <w:bCs/>
        </w:rPr>
        <w:t xml:space="preserve">CRRT 抗凝的主要并发症：出血风险 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</w:rPr>
        <w:t>抗凝的主要并发症为出血，在伴随出血风险较高疾病的患者尤其明显，如近期外伤、手术和/或侵入性操作，甚至活动性出血而使出血风险加大</w:t>
      </w:r>
      <w:r>
        <w:rPr>
          <w:rStyle w:val="a5"/>
          <w:rFonts w:ascii="微软雅黑" w:eastAsia="微软雅黑" w:hAnsi="微软雅黑" w:hint="eastAsia"/>
        </w:rPr>
        <w:footnoteReference w:customMarkFollows="1" w:id="1"/>
        <w:t>[1]</w:t>
      </w:r>
      <w:r>
        <w:rPr>
          <w:rFonts w:ascii="微软雅黑" w:eastAsia="微软雅黑" w:hAnsi="微软雅黑" w:hint="eastAsia"/>
        </w:rPr>
        <w:t>。CRRT 中使用普通肝素抗凝时出血风险发生率波动在&lt;10%~60%之间，普通肝素另一个不良反应是血小板减少症，特别是对于长期应用肝素的病人。肝素剂量的减少有利于出血风险的控制，特别是对那些外科手术前后、活动性出血性损伤、凝血因子缺乏、具慢性高出血</w:t>
      </w:r>
      <w:r>
        <w:rPr>
          <w:rFonts w:ascii="微软雅黑" w:eastAsia="微软雅黑" w:hAnsi="微软雅黑" w:hint="eastAsia"/>
        </w:rPr>
        <w:lastRenderedPageBreak/>
        <w:t>风险的诸如糖尿病、出血性心包炎、脑血管意外、脂代谢障碍和部分口服抗凝剂的患者</w:t>
      </w:r>
      <w:r>
        <w:rPr>
          <w:rStyle w:val="a5"/>
          <w:rFonts w:ascii="微软雅黑" w:eastAsia="微软雅黑" w:hAnsi="微软雅黑" w:hint="eastAsia"/>
        </w:rPr>
        <w:footnoteReference w:customMarkFollows="1" w:id="2"/>
        <w:t>[2]</w:t>
      </w:r>
      <w:proofErr w:type="gramStart"/>
      <w:r>
        <w:rPr>
          <w:rFonts w:ascii="微软雅黑" w:eastAsia="微软雅黑" w:hAnsi="微软雅黑" w:hint="eastAsia"/>
        </w:rPr>
        <w:t xml:space="preserve"> </w:t>
      </w:r>
      <w:r>
        <w:rPr>
          <w:rStyle w:val="a5"/>
          <w:rFonts w:ascii="微软雅黑" w:eastAsia="微软雅黑" w:hAnsi="微软雅黑" w:hint="eastAsia"/>
        </w:rPr>
        <w:footnoteReference w:customMarkFollows="1" w:id="3"/>
        <w:t>[3]</w:t>
      </w:r>
      <w:r>
        <w:rPr>
          <w:rFonts w:ascii="微软雅黑" w:eastAsia="微软雅黑" w:hAnsi="微软雅黑" w:hint="eastAsia"/>
        </w:rPr>
        <w:t xml:space="preserve"> </w:t>
      </w:r>
      <w:proofErr w:type="gramEnd"/>
      <w:r>
        <w:rPr>
          <w:rStyle w:val="a5"/>
          <w:rFonts w:ascii="微软雅黑" w:eastAsia="微软雅黑" w:hAnsi="微软雅黑" w:hint="eastAsia"/>
        </w:rPr>
        <w:footnoteReference w:customMarkFollows="1" w:id="4"/>
        <w:t>[4]</w:t>
      </w:r>
      <w:r>
        <w:rPr>
          <w:rFonts w:ascii="微软雅黑" w:eastAsia="微软雅黑" w:hAnsi="微软雅黑" w:hint="eastAsia"/>
        </w:rPr>
        <w:t xml:space="preserve">。 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 w:hint="eastAsia"/>
          <w:b/>
          <w:bCs/>
        </w:rPr>
        <w:t xml:space="preserve">CRRT抗凝的主要策略：尽量减少全身抗凝 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</w:rPr>
        <w:t>对于无出血风险的重症患者可采用全身抗凝。对高出血风险患者，为减少出血风险，在保障抗凝效果的同时尽量减少抗凝剂使用剂量，甚至不使用全身抗凝，特别是伴有凝血障碍性疾病时。一些替代性抗凝方案如采用其它抗凝剂、局部抗凝（局部枸橼酸或局部肝素抗凝）等</w:t>
      </w:r>
      <w:r>
        <w:rPr>
          <w:rStyle w:val="a5"/>
          <w:rFonts w:ascii="微软雅黑" w:eastAsia="微软雅黑" w:hAnsi="微软雅黑" w:hint="eastAsia"/>
        </w:rPr>
        <w:footnoteReference w:customMarkFollows="1" w:id="5"/>
        <w:t>[5]</w:t>
      </w:r>
      <w:r>
        <w:rPr>
          <w:rFonts w:ascii="微软雅黑" w:eastAsia="微软雅黑" w:hAnsi="微软雅黑" w:hint="eastAsia"/>
        </w:rPr>
        <w:t xml:space="preserve"> </w:t>
      </w:r>
      <w:r>
        <w:rPr>
          <w:rStyle w:val="a5"/>
          <w:rFonts w:ascii="微软雅黑" w:eastAsia="微软雅黑" w:hAnsi="微软雅黑" w:hint="eastAsia"/>
        </w:rPr>
        <w:footnoteReference w:customMarkFollows="1" w:id="6"/>
        <w:t>[6]</w:t>
      </w:r>
      <w:r>
        <w:rPr>
          <w:rFonts w:ascii="微软雅黑" w:eastAsia="微软雅黑" w:hAnsi="微软雅黑" w:hint="eastAsia"/>
        </w:rPr>
        <w:t>，但是局部抗凝时，又常会</w:t>
      </w:r>
      <w:proofErr w:type="gramStart"/>
      <w:r>
        <w:rPr>
          <w:rFonts w:ascii="微软雅黑" w:eastAsia="微软雅黑" w:hAnsi="微软雅黑" w:hint="eastAsia"/>
        </w:rPr>
        <w:t>受操作</w:t>
      </w:r>
      <w:proofErr w:type="gramEnd"/>
      <w:r>
        <w:rPr>
          <w:rFonts w:ascii="微软雅黑" w:eastAsia="微软雅黑" w:hAnsi="微软雅黑" w:hint="eastAsia"/>
        </w:rPr>
        <w:t>管理的复杂和新的临床禁忌证及并发症风险</w:t>
      </w:r>
      <w:r>
        <w:rPr>
          <w:rStyle w:val="a5"/>
          <w:rFonts w:ascii="微软雅黑" w:eastAsia="微软雅黑" w:hAnsi="微软雅黑" w:hint="eastAsia"/>
        </w:rPr>
        <w:footnoteReference w:customMarkFollows="1" w:id="7"/>
        <w:t>[7]</w:t>
      </w:r>
      <w:proofErr w:type="gramStart"/>
      <w:r>
        <w:rPr>
          <w:rFonts w:ascii="微软雅黑" w:eastAsia="微软雅黑" w:hAnsi="微软雅黑" w:hint="eastAsia"/>
        </w:rPr>
        <w:t xml:space="preserve"> </w:t>
      </w:r>
      <w:r>
        <w:rPr>
          <w:rStyle w:val="a5"/>
          <w:rFonts w:ascii="微软雅黑" w:eastAsia="微软雅黑" w:hAnsi="微软雅黑" w:hint="eastAsia"/>
        </w:rPr>
        <w:footnoteReference w:customMarkFollows="1" w:id="8"/>
        <w:t>[8]</w:t>
      </w:r>
      <w:r>
        <w:rPr>
          <w:rFonts w:ascii="微软雅黑" w:eastAsia="微软雅黑" w:hAnsi="微软雅黑" w:hint="eastAsia"/>
        </w:rPr>
        <w:t xml:space="preserve"> </w:t>
      </w:r>
      <w:proofErr w:type="gramEnd"/>
      <w:r>
        <w:rPr>
          <w:rStyle w:val="a5"/>
          <w:rFonts w:ascii="微软雅黑" w:eastAsia="微软雅黑" w:hAnsi="微软雅黑" w:hint="eastAsia"/>
        </w:rPr>
        <w:footnoteReference w:customMarkFollows="1" w:id="9"/>
        <w:t>[9]</w:t>
      </w:r>
      <w:r>
        <w:rPr>
          <w:rFonts w:ascii="微软雅黑" w:eastAsia="微软雅黑" w:hAnsi="微软雅黑" w:hint="eastAsia"/>
        </w:rPr>
        <w:t>等的限制。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b/>
          <w:bCs/>
        </w:rPr>
      </w:pPr>
      <w:bookmarkStart w:id="1" w:name="OLE_LINK3"/>
      <w:r>
        <w:rPr>
          <w:rFonts w:ascii="微软雅黑" w:eastAsia="微软雅黑" w:hAnsi="微软雅黑" w:hint="eastAsia"/>
          <w:b/>
          <w:bCs/>
        </w:rPr>
        <w:t>创新ST 系列产品：减少全身抗凝要求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使得</w:t>
      </w:r>
      <w:proofErr w:type="spellStart"/>
      <w:r>
        <w:rPr>
          <w:rFonts w:ascii="微软雅黑" w:eastAsia="微软雅黑" w:hAnsi="微软雅黑" w:hint="eastAsia"/>
        </w:rPr>
        <w:t>Prismaflex</w:t>
      </w:r>
      <w:proofErr w:type="spellEnd"/>
      <w:r>
        <w:rPr>
          <w:rFonts w:ascii="微软雅黑" w:eastAsia="微软雅黑" w:hAnsi="微软雅黑" w:hint="eastAsia"/>
        </w:rPr>
        <w:t xml:space="preserve"> ST系列耗材在保持膜材优良的吸附性能的同时，明显降低凝血因子的激活，减少全身抗凝需求，从而使出血风险患者行CRRT治疗时出血风险降低。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b/>
          <w:bCs/>
        </w:rPr>
      </w:pPr>
      <w:bookmarkStart w:id="2" w:name="OLE_LINK2"/>
      <w:bookmarkStart w:id="3" w:name="OLE_LINK1"/>
      <w:bookmarkEnd w:id="1"/>
      <w:r>
        <w:rPr>
          <w:rFonts w:ascii="微软雅黑" w:eastAsia="微软雅黑" w:hAnsi="微软雅黑" w:hint="eastAsia"/>
          <w:b/>
          <w:bCs/>
        </w:rPr>
        <w:t>PRISMAFLEX ST配套</w:t>
      </w:r>
      <w:bookmarkEnd w:id="2"/>
      <w:bookmarkEnd w:id="3"/>
      <w:r>
        <w:rPr>
          <w:rFonts w:ascii="微软雅黑" w:eastAsia="微软雅黑" w:hAnsi="微软雅黑" w:hint="eastAsia"/>
          <w:b/>
          <w:bCs/>
        </w:rPr>
        <w:t>基本情况介绍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</w:rPr>
        <w:lastRenderedPageBreak/>
        <w:t>该配套用于患急性肾脏衰竭及／或液体过量的患者。含过滤器一支，一条血液输入管（红条）、一条   回血管路（蓝条）、一条透析液输入管（绿条）、一条废液输出管（黄条）、 一条置换液管路（紫条）、一条血泵前管路（白条）     一条抗凝血剂输入管路及废液收集袋，所有管路颜色区分、预先连接，避免连接错误及感染风险。</w:t>
      </w:r>
    </w:p>
    <w:p w:rsidR="00341FFD" w:rsidRDefault="00341FFD" w:rsidP="00341FFD">
      <w:pPr>
        <w:spacing w:beforeLines="50" w:before="156"/>
        <w:ind w:firstLine="594"/>
        <w:rPr>
          <w:rFonts w:ascii="微软雅黑" w:eastAsia="微软雅黑" w:hAnsi="微软雅黑" w:hint="eastAsia"/>
        </w:rPr>
      </w:pPr>
      <w:proofErr w:type="spellStart"/>
      <w:r>
        <w:rPr>
          <w:rFonts w:ascii="微软雅黑" w:eastAsia="微软雅黑" w:hAnsi="微软雅黑" w:hint="eastAsia"/>
        </w:rPr>
        <w:t>Prismaflex</w:t>
      </w:r>
      <w:proofErr w:type="spellEnd"/>
      <w:r>
        <w:rPr>
          <w:rFonts w:ascii="微软雅黑" w:eastAsia="微软雅黑" w:hAnsi="微软雅黑" w:hint="eastAsia"/>
        </w:rPr>
        <w:t xml:space="preserve"> ST 配套已经成为国际流行膜材，是国际临床专家的首选，为重症病人的CRRT治疗提供了新的选择。</w:t>
      </w:r>
    </w:p>
    <w:p w:rsidR="00A66D6B" w:rsidRPr="00341FFD" w:rsidRDefault="00A66D6B"/>
    <w:sectPr w:rsidR="00A66D6B" w:rsidRPr="00341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09" w:rsidRDefault="00377E09" w:rsidP="00341FFD">
      <w:r>
        <w:separator/>
      </w:r>
    </w:p>
  </w:endnote>
  <w:endnote w:type="continuationSeparator" w:id="0">
    <w:p w:rsidR="00377E09" w:rsidRDefault="00377E09" w:rsidP="003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09" w:rsidRDefault="00377E09" w:rsidP="00341FFD">
      <w:r>
        <w:separator/>
      </w:r>
    </w:p>
  </w:footnote>
  <w:footnote w:type="continuationSeparator" w:id="0">
    <w:p w:rsidR="00377E09" w:rsidRDefault="00377E09" w:rsidP="00341FFD">
      <w:r>
        <w:continuationSeparator/>
      </w:r>
    </w:p>
  </w:footnote>
  <w:footnote w:id="1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[1]</w:t>
      </w:r>
      <w:r>
        <w:rPr>
          <w:rFonts w:hint="eastAsia"/>
        </w:rPr>
        <w:t>  Swartz</w:t>
      </w:r>
      <w:proofErr w:type="gramStart"/>
      <w:r>
        <w:rPr>
          <w:rFonts w:hint="eastAsia"/>
        </w:rPr>
        <w:t>  RD</w:t>
      </w:r>
      <w:proofErr w:type="gramEnd"/>
      <w:r>
        <w:rPr>
          <w:rFonts w:hint="eastAsia"/>
        </w:rPr>
        <w:t>,  Port  FK.  Preventing</w:t>
      </w:r>
      <w:proofErr w:type="gramStart"/>
      <w:r>
        <w:rPr>
          <w:rFonts w:hint="eastAsia"/>
        </w:rPr>
        <w:t>  hemorrhage</w:t>
      </w:r>
      <w:proofErr w:type="gramEnd"/>
      <w:r>
        <w:rPr>
          <w:rFonts w:hint="eastAsia"/>
        </w:rPr>
        <w:t xml:space="preserve">  in  high-risk  hemodialysis:  regional versus low-dose heparin. Kidney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, 1979, 16: 513-518.</w:t>
      </w:r>
    </w:p>
  </w:footnote>
  <w:footnote w:id="2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[2]</w:t>
      </w:r>
      <w:r>
        <w:rPr>
          <w:rFonts w:hint="eastAsia"/>
        </w:rPr>
        <w:t xml:space="preserve">  </w:t>
      </w:r>
      <w:proofErr w:type="spellStart"/>
      <w:r>
        <w:rPr>
          <w:rFonts w:hint="eastAsia"/>
        </w:rPr>
        <w:t>Bellomo</w:t>
      </w:r>
      <w:proofErr w:type="spellEnd"/>
      <w:r>
        <w:rPr>
          <w:rFonts w:hint="eastAsia"/>
        </w:rPr>
        <w:t xml:space="preserve"> R, Mansfield D, Rumble S, et al. A comparison of conventional dialytic therapy and acute continuous </w:t>
      </w:r>
      <w:proofErr w:type="spellStart"/>
      <w:r>
        <w:rPr>
          <w:rFonts w:hint="eastAsia"/>
        </w:rPr>
        <w:t>hemodiafiltration</w:t>
      </w:r>
      <w:proofErr w:type="spellEnd"/>
      <w:r>
        <w:rPr>
          <w:rFonts w:hint="eastAsia"/>
        </w:rPr>
        <w:t xml:space="preserve"> in the management of acute renal failure in the critically ill. Ren Fail, 1993, 15: 595-602. .</w:t>
      </w:r>
    </w:p>
  </w:footnote>
  <w:footnote w:id="3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[3]</w:t>
      </w:r>
      <w:r>
        <w:rPr>
          <w:rFonts w:hint="eastAsia"/>
        </w:rPr>
        <w:t xml:space="preserve">  </w:t>
      </w:r>
      <w:proofErr w:type="spellStart"/>
      <w:r>
        <w:rPr>
          <w:rFonts w:hint="eastAsia"/>
        </w:rPr>
        <w:t>Pavlina</w:t>
      </w:r>
      <w:proofErr w:type="spellEnd"/>
      <w:r>
        <w:rPr>
          <w:rFonts w:hint="eastAsia"/>
        </w:rPr>
        <w:t xml:space="preserve"> Richtrova1, Karel </w:t>
      </w:r>
      <w:proofErr w:type="spellStart"/>
      <w:r>
        <w:rPr>
          <w:rFonts w:hint="eastAsia"/>
        </w:rPr>
        <w:t>Opatrny</w:t>
      </w:r>
      <w:proofErr w:type="spellEnd"/>
      <w:r>
        <w:rPr>
          <w:rFonts w:hint="eastAsia"/>
        </w:rPr>
        <w:t xml:space="preserve">, etc.; </w:t>
      </w:r>
      <w:proofErr w:type="spellStart"/>
      <w:r>
        <w:rPr>
          <w:rFonts w:hint="eastAsia"/>
        </w:rPr>
        <w:t>Nephrol</w:t>
      </w:r>
      <w:proofErr w:type="spellEnd"/>
      <w:r>
        <w:rPr>
          <w:rFonts w:hint="eastAsia"/>
        </w:rPr>
        <w:t xml:space="preserve"> Dial Transplant (2007) 22: 2978–2984 The AN69ST </w:t>
      </w:r>
      <w:proofErr w:type="spellStart"/>
      <w:r>
        <w:rPr>
          <w:rFonts w:hint="eastAsia"/>
        </w:rPr>
        <w:t>haemodialysis</w:t>
      </w:r>
      <w:proofErr w:type="spellEnd"/>
      <w:r>
        <w:rPr>
          <w:rFonts w:hint="eastAsia"/>
        </w:rPr>
        <w:t xml:space="preserve"> membrane  under conditions of two different extracorporeal circuit rinse protocols—a comparison of </w:t>
      </w:r>
      <w:proofErr w:type="spellStart"/>
      <w:r>
        <w:rPr>
          <w:rFonts w:hint="eastAsia"/>
        </w:rPr>
        <w:t>thrombogenicity</w:t>
      </w:r>
      <w:proofErr w:type="spellEnd"/>
      <w:r>
        <w:rPr>
          <w:rFonts w:hint="eastAsia"/>
        </w:rPr>
        <w:t xml:space="preserve"> parameters</w:t>
      </w:r>
    </w:p>
  </w:footnote>
  <w:footnote w:id="4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[4]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Ronco</w:t>
      </w:r>
      <w:proofErr w:type="spellEnd"/>
      <w:r>
        <w:rPr>
          <w:rFonts w:hint="eastAsia"/>
        </w:rPr>
        <w:t xml:space="preserve"> C, </w:t>
      </w:r>
      <w:proofErr w:type="spellStart"/>
      <w:r>
        <w:rPr>
          <w:rFonts w:hint="eastAsia"/>
        </w:rPr>
        <w:t>Bellomo</w:t>
      </w:r>
      <w:proofErr w:type="spellEnd"/>
      <w:r>
        <w:rPr>
          <w:rFonts w:hint="eastAsia"/>
        </w:rPr>
        <w:t xml:space="preserve"> R, </w:t>
      </w:r>
      <w:proofErr w:type="spellStart"/>
      <w:r>
        <w:rPr>
          <w:rFonts w:hint="eastAsia"/>
        </w:rPr>
        <w:t>Homel</w:t>
      </w:r>
      <w:proofErr w:type="spellEnd"/>
      <w:r>
        <w:rPr>
          <w:rFonts w:hint="eastAsia"/>
        </w:rPr>
        <w:t xml:space="preserve"> P, et al. Effects of different doses in continuous </w:t>
      </w:r>
      <w:proofErr w:type="spellStart"/>
      <w:r>
        <w:rPr>
          <w:rFonts w:hint="eastAsia"/>
        </w:rPr>
        <w:t>veno</w:t>
      </w:r>
      <w:proofErr w:type="spellEnd"/>
      <w:r>
        <w:rPr>
          <w:rFonts w:hint="eastAsia"/>
        </w:rPr>
        <w:t xml:space="preserve">-venous </w:t>
      </w:r>
      <w:proofErr w:type="spellStart"/>
      <w:r>
        <w:rPr>
          <w:rFonts w:hint="eastAsia"/>
        </w:rPr>
        <w:t>haemofiltration</w:t>
      </w:r>
      <w:proofErr w:type="spellEnd"/>
      <w:r>
        <w:rPr>
          <w:rFonts w:hint="eastAsia"/>
        </w:rPr>
        <w:t xml:space="preserve"> on outcomes of acute renal failure: a prospective </w:t>
      </w:r>
      <w:proofErr w:type="spellStart"/>
      <w:r>
        <w:rPr>
          <w:rFonts w:hint="eastAsia"/>
        </w:rPr>
        <w:t>randomised</w:t>
      </w:r>
      <w:proofErr w:type="spellEnd"/>
      <w:r>
        <w:rPr>
          <w:rFonts w:hint="eastAsia"/>
        </w:rPr>
        <w:t xml:space="preserve"> trial. Lancet, 2000, 356: 26-30.</w:t>
      </w:r>
    </w:p>
  </w:footnote>
  <w:footnote w:id="5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[5]</w:t>
      </w:r>
      <w:r>
        <w:rPr>
          <w:rFonts w:hint="eastAsia"/>
        </w:rPr>
        <w:t xml:space="preserve"> Mehta RL. Anticoagulation strategies for </w:t>
      </w:r>
      <w:proofErr w:type="spellStart"/>
      <w:r>
        <w:rPr>
          <w:rFonts w:hint="eastAsia"/>
        </w:rPr>
        <w:t>continous</w:t>
      </w:r>
      <w:proofErr w:type="spellEnd"/>
      <w:r>
        <w:rPr>
          <w:rFonts w:hint="eastAsia"/>
        </w:rPr>
        <w:t xml:space="preserve"> renal replacement therapies: What works?  Am J Kidney Dis, 1996, 28: S8-</w:t>
      </w:r>
      <w:proofErr w:type="gramStart"/>
      <w:r>
        <w:rPr>
          <w:rFonts w:hint="eastAsia"/>
        </w:rPr>
        <w:t>S14 .</w:t>
      </w:r>
      <w:proofErr w:type="gramEnd"/>
    </w:p>
  </w:footnote>
  <w:footnote w:id="6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[6]</w:t>
      </w:r>
      <w:r>
        <w:rPr>
          <w:rFonts w:hint="eastAsia"/>
        </w:rPr>
        <w:t xml:space="preserve"> M </w:t>
      </w:r>
      <w:proofErr w:type="spellStart"/>
      <w:r>
        <w:rPr>
          <w:rFonts w:hint="eastAsia"/>
        </w:rPr>
        <w:t>Schetz</w:t>
      </w:r>
      <w:proofErr w:type="spellEnd"/>
      <w:r>
        <w:rPr>
          <w:rFonts w:hint="eastAsia"/>
        </w:rPr>
        <w:t xml:space="preserve">. Anticoagulation in Continuous Renal Replacement Therapy. </w:t>
      </w:r>
      <w:proofErr w:type="spellStart"/>
      <w:r>
        <w:rPr>
          <w:rFonts w:hint="eastAsia"/>
        </w:rPr>
        <w:t>Contrib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Nephrol</w:t>
      </w:r>
      <w:proofErr w:type="spellEnd"/>
      <w:r>
        <w:rPr>
          <w:rFonts w:hint="eastAsia"/>
        </w:rPr>
        <w:t>, 2001, 132: 283-303.</w:t>
      </w:r>
    </w:p>
  </w:footnote>
  <w:footnote w:id="7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[7]</w:t>
      </w:r>
      <w:r>
        <w:rPr>
          <w:rFonts w:hint="eastAsia"/>
        </w:rPr>
        <w:t xml:space="preserve"> Bakker AJ, </w:t>
      </w:r>
      <w:proofErr w:type="spellStart"/>
      <w:r>
        <w:rPr>
          <w:rFonts w:hint="eastAsia"/>
        </w:rPr>
        <w:t>Boerma</w:t>
      </w:r>
      <w:proofErr w:type="spellEnd"/>
      <w:r>
        <w:rPr>
          <w:rFonts w:hint="eastAsia"/>
        </w:rPr>
        <w:t xml:space="preserve"> EC, </w:t>
      </w:r>
      <w:proofErr w:type="spellStart"/>
      <w:proofErr w:type="gramStart"/>
      <w:r>
        <w:rPr>
          <w:rFonts w:hint="eastAsia"/>
        </w:rPr>
        <w:t>Keidel</w:t>
      </w:r>
      <w:proofErr w:type="spellEnd"/>
      <w:proofErr w:type="gramEnd"/>
      <w:r>
        <w:rPr>
          <w:rFonts w:hint="eastAsia"/>
        </w:rPr>
        <w:t xml:space="preserve"> H, et al. Detection of citrate overdose in critically ill patients on citrate-anticoagulated </w:t>
      </w:r>
      <w:proofErr w:type="spellStart"/>
      <w:r>
        <w:rPr>
          <w:rFonts w:hint="eastAsia"/>
        </w:rPr>
        <w:t>venovenous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haemofiltration</w:t>
      </w:r>
      <w:proofErr w:type="spellEnd"/>
      <w:r>
        <w:rPr>
          <w:rFonts w:hint="eastAsia"/>
        </w:rPr>
        <w:t xml:space="preserve">: use of </w:t>
      </w:r>
      <w:proofErr w:type="spellStart"/>
      <w:r>
        <w:rPr>
          <w:rFonts w:hint="eastAsia"/>
        </w:rPr>
        <w:t>ionised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nd</w:t>
      </w:r>
      <w:proofErr w:type="spellEnd"/>
      <w:r>
        <w:rPr>
          <w:rFonts w:hint="eastAsia"/>
        </w:rPr>
        <w:t xml:space="preserve"> total </w:t>
      </w:r>
      <w:proofErr w:type="spellStart"/>
      <w:r>
        <w:rPr>
          <w:rFonts w:hint="eastAsia"/>
        </w:rPr>
        <w:t>ionised</w:t>
      </w:r>
      <w:proofErr w:type="spellEnd"/>
      <w:r>
        <w:rPr>
          <w:rFonts w:hint="eastAsia"/>
        </w:rPr>
        <w:t xml:space="preserve"> calcium. </w:t>
      </w:r>
      <w:proofErr w:type="spellStart"/>
      <w:r>
        <w:rPr>
          <w:rFonts w:hint="eastAsia"/>
        </w:rPr>
        <w:t>Clin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Chem</w:t>
      </w:r>
      <w:proofErr w:type="spellEnd"/>
      <w:r>
        <w:rPr>
          <w:rFonts w:hint="eastAsia"/>
        </w:rPr>
        <w:t xml:space="preserve"> Lab Med, 2006, 44: 962-966.</w:t>
      </w:r>
    </w:p>
  </w:footnote>
  <w:footnote w:id="8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[8]</w:t>
      </w:r>
      <w:r>
        <w:rPr>
          <w:rFonts w:hint="eastAsia"/>
        </w:rPr>
        <w:t>  Meier-</w:t>
      </w:r>
      <w:proofErr w:type="spellStart"/>
      <w:r>
        <w:rPr>
          <w:rFonts w:hint="eastAsia"/>
        </w:rPr>
        <w:t>Kriesche</w:t>
      </w:r>
      <w:proofErr w:type="spellEnd"/>
      <w:r>
        <w:rPr>
          <w:rFonts w:hint="eastAsia"/>
        </w:rPr>
        <w:t xml:space="preserve"> HU, </w:t>
      </w:r>
      <w:proofErr w:type="spellStart"/>
      <w:r>
        <w:rPr>
          <w:rFonts w:hint="eastAsia"/>
        </w:rPr>
        <w:t>Finkel</w:t>
      </w:r>
      <w:proofErr w:type="spellEnd"/>
      <w:r>
        <w:rPr>
          <w:rFonts w:hint="eastAsia"/>
        </w:rPr>
        <w:t xml:space="preserve"> KW, </w:t>
      </w:r>
      <w:proofErr w:type="spellStart"/>
      <w:r>
        <w:rPr>
          <w:rFonts w:hint="eastAsia"/>
        </w:rPr>
        <w:t>Gitomer</w:t>
      </w:r>
      <w:proofErr w:type="spellEnd"/>
      <w:r>
        <w:rPr>
          <w:rFonts w:hint="eastAsia"/>
        </w:rPr>
        <w:t xml:space="preserve"> JJ, et al. Unexpected severe hypocalcemia during continuous </w:t>
      </w:r>
      <w:proofErr w:type="spellStart"/>
      <w:r>
        <w:rPr>
          <w:rFonts w:hint="eastAsia"/>
        </w:rPr>
        <w:t>venovenous</w:t>
      </w:r>
      <w:proofErr w:type="spellEnd"/>
      <w:proofErr w:type="gramStart"/>
      <w:r>
        <w:rPr>
          <w:rFonts w:hint="eastAsia"/>
        </w:rPr>
        <w:t>  hemodialysis</w:t>
      </w:r>
      <w:proofErr w:type="gramEnd"/>
      <w:r>
        <w:rPr>
          <w:rFonts w:hint="eastAsia"/>
        </w:rPr>
        <w:t xml:space="preserve"> with regional citrate anticoagulation. Am J Kidney Dis, 1999, 33: </w:t>
      </w:r>
      <w:proofErr w:type="gramStart"/>
      <w:r>
        <w:rPr>
          <w:rFonts w:hint="eastAsia"/>
        </w:rPr>
        <w:t>e8.</w:t>
      </w:r>
      <w:proofErr w:type="gramEnd"/>
    </w:p>
  </w:footnote>
  <w:footnote w:id="9">
    <w:p w:rsidR="00341FFD" w:rsidRDefault="00341FFD" w:rsidP="00341FFD">
      <w:pPr>
        <w:pStyle w:val="a3"/>
        <w:rPr>
          <w:rFonts w:hint="eastAsia"/>
        </w:rPr>
      </w:pPr>
      <w:r>
        <w:rPr>
          <w:rStyle w:val="a5"/>
          <w:rFonts w:hint="eastAsia"/>
        </w:rPr>
        <w:t>[9]</w:t>
      </w:r>
      <w:r>
        <w:rPr>
          <w:rFonts w:hint="eastAsia"/>
        </w:rPr>
        <w:t xml:space="preserve"> Kim YG. Anticoagulation during </w:t>
      </w:r>
      <w:proofErr w:type="spellStart"/>
      <w:r>
        <w:rPr>
          <w:rFonts w:hint="eastAsia"/>
        </w:rPr>
        <w:t>haemodialysis</w:t>
      </w:r>
      <w:proofErr w:type="spellEnd"/>
      <w:r>
        <w:rPr>
          <w:rFonts w:hint="eastAsia"/>
        </w:rPr>
        <w:t xml:space="preserve"> in patients at high-risk of bleeding. Nephrology (Carlton), 2003, 8: S23-S27.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FD"/>
    <w:rsid w:val="00341FFD"/>
    <w:rsid w:val="00377E09"/>
    <w:rsid w:val="00A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15BFB-2A50-4480-996F-0E6F59C1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FD"/>
    <w:rPr>
      <w:rFonts w:ascii="Calibri" w:eastAsia="宋体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1FFD"/>
    <w:pPr>
      <w:snapToGrid w:val="0"/>
    </w:pPr>
    <w:rPr>
      <w:rFonts w:ascii="等线" w:eastAsia="等线" w:hAnsi="等线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341FFD"/>
    <w:rPr>
      <w:rFonts w:ascii="等线" w:eastAsia="等线" w:hAnsi="等线" w:cs="宋体"/>
      <w:kern w:val="0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341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866</Characters>
  <Application>Microsoft Office Word</Application>
  <DocSecurity>0</DocSecurity>
  <Lines>7</Lines>
  <Paragraphs>2</Paragraphs>
  <ScaleCrop>false</ScaleCrop>
  <Company>Baxter Healthcare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2019-07-02T11:17:00Z</dcterms:created>
  <dcterms:modified xsi:type="dcterms:W3CDTF">2019-07-02T11:18:00Z</dcterms:modified>
</cp:coreProperties>
</file>