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D4C" w:rsidRDefault="008C7C1E" w:rsidP="00A20809">
      <w:pPr>
        <w:spacing w:line="360" w:lineRule="auto"/>
        <w:ind w:firstLineChars="200" w:firstLine="420"/>
        <w:mirrorIndents/>
        <w:jc w:val="center"/>
      </w:pPr>
      <w:r>
        <w:rPr>
          <w:rFonts w:hint="eastAsia"/>
        </w:rPr>
        <w:t>腹膜透析液（乳酸盐-</w:t>
      </w:r>
      <w:r>
        <w:t>G</w:t>
      </w:r>
      <w:r w:rsidR="00B75151">
        <w:rPr>
          <w:rFonts w:hint="eastAsia"/>
        </w:rPr>
        <w:t>2</w:t>
      </w:r>
      <w:r>
        <w:rPr>
          <w:rFonts w:hint="eastAsia"/>
        </w:rPr>
        <w:t>.5%）</w:t>
      </w:r>
    </w:p>
    <w:p w:rsidR="00A20809" w:rsidRDefault="00A20809" w:rsidP="00A20809">
      <w:pPr>
        <w:spacing w:line="360" w:lineRule="auto"/>
        <w:ind w:firstLineChars="200" w:firstLine="420"/>
        <w:mirrorIndents/>
        <w:jc w:val="center"/>
      </w:pPr>
      <w:r>
        <w:rPr>
          <w:rFonts w:hint="eastAsia"/>
        </w:rPr>
        <w:t>请仔细阅读说明书并在医师指导下使用</w:t>
      </w:r>
    </w:p>
    <w:p w:rsidR="00C36394" w:rsidRPr="00055F9F" w:rsidRDefault="00B75151">
      <w:pPr>
        <w:rPr>
          <w:b/>
        </w:rPr>
      </w:pPr>
      <w:r w:rsidRPr="00055F9F">
        <w:rPr>
          <w:rFonts w:hint="eastAsia"/>
          <w:b/>
        </w:rPr>
        <w:t>通用名：</w:t>
      </w:r>
    </w:p>
    <w:p w:rsidR="00B75151" w:rsidRPr="00B75151" w:rsidRDefault="00B75151" w:rsidP="00B75151">
      <w:pPr>
        <w:spacing w:line="360" w:lineRule="auto"/>
        <w:mirrorIndents/>
      </w:pPr>
      <w:r>
        <w:rPr>
          <w:rFonts w:hint="eastAsia"/>
        </w:rPr>
        <w:t>腹膜透析液（乳酸盐-</w:t>
      </w:r>
      <w:r>
        <w:t>G</w:t>
      </w:r>
      <w:r>
        <w:rPr>
          <w:rFonts w:hint="eastAsia"/>
        </w:rPr>
        <w:t>2.5%）</w:t>
      </w:r>
    </w:p>
    <w:p w:rsidR="00DE6E62" w:rsidRPr="00055F9F" w:rsidRDefault="00DE6E62" w:rsidP="00DE6E62">
      <w:pPr>
        <w:rPr>
          <w:b/>
        </w:rPr>
      </w:pPr>
      <w:r w:rsidRPr="00055F9F">
        <w:rPr>
          <w:rFonts w:hint="eastAsia"/>
          <w:b/>
        </w:rPr>
        <w:t>成分：</w:t>
      </w:r>
    </w:p>
    <w:p w:rsidR="00DE6E62" w:rsidRDefault="00DE6E62" w:rsidP="00DE6E62">
      <w:r>
        <w:rPr>
          <w:rFonts w:hint="eastAsia"/>
        </w:rPr>
        <w:t>本品为复方制剂，成分详见说明书</w:t>
      </w:r>
    </w:p>
    <w:p w:rsidR="00055F9F" w:rsidRPr="00EB1990" w:rsidRDefault="00055F9F" w:rsidP="00055F9F">
      <w:pPr>
        <w:rPr>
          <w:b/>
        </w:rPr>
      </w:pPr>
      <w:r w:rsidRPr="00EB1990">
        <w:rPr>
          <w:rFonts w:hint="eastAsia"/>
          <w:b/>
        </w:rPr>
        <w:t>性状：</w:t>
      </w:r>
    </w:p>
    <w:p w:rsidR="00055F9F" w:rsidRPr="00151E64" w:rsidRDefault="00055F9F" w:rsidP="00055F9F">
      <w:pPr>
        <w:rPr>
          <w:rFonts w:hint="eastAsia"/>
        </w:rPr>
      </w:pPr>
      <w:r>
        <w:rPr>
          <w:rFonts w:hint="eastAsia"/>
        </w:rPr>
        <w:t>装在双联系统容器中的低钙腹膜透析液为无菌，无热源的无色或微黄色的澄清液体，只用于腹腔给药，不含抑菌剂和抗菌剂</w:t>
      </w:r>
    </w:p>
    <w:p w:rsidR="00055F9F" w:rsidRPr="00055F9F" w:rsidRDefault="00055F9F" w:rsidP="00DE6E62">
      <w:pPr>
        <w:rPr>
          <w:rFonts w:hint="eastAsia"/>
        </w:rPr>
      </w:pPr>
    </w:p>
    <w:p w:rsidR="00A20809" w:rsidRPr="00055F9F" w:rsidRDefault="00FD43A9">
      <w:pPr>
        <w:rPr>
          <w:b/>
        </w:rPr>
      </w:pPr>
      <w:r w:rsidRPr="00055F9F">
        <w:rPr>
          <w:rFonts w:hint="eastAsia"/>
          <w:b/>
        </w:rPr>
        <w:t>适应症：</w:t>
      </w:r>
    </w:p>
    <w:p w:rsidR="00FD43A9" w:rsidRDefault="00EB3601">
      <w:r>
        <w:rPr>
          <w:rFonts w:hint="eastAsia"/>
        </w:rPr>
        <w:t>腹膜透析液用于因非透析治疗无效而需要</w:t>
      </w:r>
      <w:bookmarkStart w:id="0" w:name="OLE_LINK3"/>
      <w:r>
        <w:rPr>
          <w:rFonts w:hint="eastAsia"/>
        </w:rPr>
        <w:t>连续不卧床性腹膜透析治疗</w:t>
      </w:r>
      <w:bookmarkEnd w:id="0"/>
      <w:r>
        <w:rPr>
          <w:rFonts w:hint="eastAsia"/>
        </w:rPr>
        <w:t>的慢性肾功能衰竭患者。</w:t>
      </w:r>
    </w:p>
    <w:p w:rsidR="00DE6E62" w:rsidRDefault="00DE6E62">
      <w:r w:rsidRPr="00055F9F">
        <w:rPr>
          <w:rFonts w:hint="eastAsia"/>
          <w:b/>
        </w:rPr>
        <w:t>禁忌症：</w:t>
      </w:r>
      <w:r>
        <w:rPr>
          <w:rFonts w:hint="eastAsia"/>
        </w:rPr>
        <w:t>本品禁用于：</w:t>
      </w:r>
    </w:p>
    <w:p w:rsidR="00DE6E62" w:rsidRDefault="00DE6E62" w:rsidP="00DE6E62">
      <w:pPr>
        <w:pStyle w:val="a7"/>
        <w:numPr>
          <w:ilvl w:val="0"/>
          <w:numId w:val="1"/>
        </w:numPr>
        <w:ind w:firstLineChars="0"/>
      </w:pPr>
      <w:r>
        <w:rPr>
          <w:rFonts w:hint="eastAsia"/>
        </w:rPr>
        <w:t>已知存在严重乳酸酸中毒的患者</w:t>
      </w:r>
    </w:p>
    <w:p w:rsidR="00DE6E62" w:rsidRDefault="00DE6E62" w:rsidP="00DE6E62">
      <w:pPr>
        <w:pStyle w:val="a7"/>
        <w:numPr>
          <w:ilvl w:val="0"/>
          <w:numId w:val="1"/>
        </w:numPr>
        <w:ind w:firstLineChars="0"/>
      </w:pPr>
      <w:r>
        <w:rPr>
          <w:rFonts w:hint="eastAsia"/>
        </w:rPr>
        <w:t>有无法纠正的机械性缺陷以妨碍腹膜透析有效进行的或者感染风险增加的患者</w:t>
      </w:r>
    </w:p>
    <w:p w:rsidR="00DE6E62" w:rsidRDefault="00DE6E62" w:rsidP="00DE6E62">
      <w:pPr>
        <w:pStyle w:val="a7"/>
        <w:numPr>
          <w:ilvl w:val="0"/>
          <w:numId w:val="1"/>
        </w:numPr>
        <w:ind w:firstLineChars="0"/>
      </w:pPr>
      <w:r>
        <w:rPr>
          <w:rFonts w:hint="eastAsia"/>
        </w:rPr>
        <w:t>有丧失腹膜功能病史的或者广泛粘连而影响腹膜功能的患者</w:t>
      </w:r>
    </w:p>
    <w:p w:rsidR="00A20809" w:rsidRPr="00055F9F" w:rsidRDefault="00EB3601">
      <w:pPr>
        <w:rPr>
          <w:b/>
        </w:rPr>
      </w:pPr>
      <w:r w:rsidRPr="00055F9F">
        <w:rPr>
          <w:rFonts w:hint="eastAsia"/>
          <w:b/>
        </w:rPr>
        <w:t>规格：</w:t>
      </w:r>
    </w:p>
    <w:p w:rsidR="00EB3601" w:rsidRDefault="00EB3601">
      <w:r>
        <w:rPr>
          <w:rFonts w:hint="eastAsia"/>
        </w:rPr>
        <w:t>含</w:t>
      </w:r>
      <w:r w:rsidR="00DE6E62">
        <w:rPr>
          <w:rFonts w:hint="eastAsia"/>
        </w:rPr>
        <w:t>2</w:t>
      </w:r>
      <w:r>
        <w:rPr>
          <w:rFonts w:hint="eastAsia"/>
        </w:rPr>
        <w:t>.5%葡萄糖（2L/袋，2.5</w:t>
      </w:r>
      <w:r>
        <w:t>L</w:t>
      </w:r>
      <w:r>
        <w:rPr>
          <w:rFonts w:hint="eastAsia"/>
        </w:rPr>
        <w:t>/袋）</w:t>
      </w:r>
      <w:r w:rsidR="00522A0B">
        <w:rPr>
          <w:rFonts w:hint="eastAsia"/>
        </w:rPr>
        <w:t>钙离子浓度1.77</w:t>
      </w:r>
      <w:r w:rsidR="00522A0B">
        <w:t>mmol/L</w:t>
      </w:r>
    </w:p>
    <w:p w:rsidR="00A20809" w:rsidRPr="00055F9F" w:rsidRDefault="004955A9">
      <w:pPr>
        <w:rPr>
          <w:b/>
        </w:rPr>
      </w:pPr>
      <w:bookmarkStart w:id="1" w:name="_GoBack"/>
      <w:r w:rsidRPr="00055F9F">
        <w:rPr>
          <w:rFonts w:hint="eastAsia"/>
          <w:b/>
        </w:rPr>
        <w:t>用法总则：</w:t>
      </w:r>
    </w:p>
    <w:bookmarkEnd w:id="1"/>
    <w:p w:rsidR="00EB3601" w:rsidRPr="00FD43A9" w:rsidRDefault="004955A9">
      <w:r>
        <w:rPr>
          <w:rFonts w:hint="eastAsia"/>
        </w:rPr>
        <w:t>腹膜透析液仅供腹腔使用，不能静脉使用，建议承认患者在做连续不卧床性腹膜透析治疗（CAPD）前应在医护指导下做培训后使用。</w:t>
      </w:r>
      <w:r w:rsidR="00522A0B">
        <w:rPr>
          <w:rFonts w:hint="eastAsia"/>
        </w:rPr>
        <w:t xml:space="preserve"> </w:t>
      </w:r>
    </w:p>
    <w:sectPr w:rsidR="00EB3601" w:rsidRPr="00FD43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489" w:rsidRDefault="00A95489" w:rsidP="00FD43A9">
      <w:r>
        <w:separator/>
      </w:r>
    </w:p>
  </w:endnote>
  <w:endnote w:type="continuationSeparator" w:id="0">
    <w:p w:rsidR="00A95489" w:rsidRDefault="00A95489" w:rsidP="00FD4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489" w:rsidRDefault="00A95489" w:rsidP="00FD43A9">
      <w:r>
        <w:separator/>
      </w:r>
    </w:p>
  </w:footnote>
  <w:footnote w:type="continuationSeparator" w:id="0">
    <w:p w:rsidR="00A95489" w:rsidRDefault="00A95489" w:rsidP="00FD4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1149"/>
    <w:multiLevelType w:val="hybridMultilevel"/>
    <w:tmpl w:val="B9580BC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C1E"/>
    <w:rsid w:val="00055F9F"/>
    <w:rsid w:val="000D731E"/>
    <w:rsid w:val="003D1CC3"/>
    <w:rsid w:val="004955A9"/>
    <w:rsid w:val="00522A0B"/>
    <w:rsid w:val="00581042"/>
    <w:rsid w:val="008C7C1E"/>
    <w:rsid w:val="00A20809"/>
    <w:rsid w:val="00A95489"/>
    <w:rsid w:val="00AD7D4C"/>
    <w:rsid w:val="00B75151"/>
    <w:rsid w:val="00DE61B0"/>
    <w:rsid w:val="00DE6E62"/>
    <w:rsid w:val="00EB3601"/>
    <w:rsid w:val="00FD43A9"/>
    <w:rsid w:val="00FE5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142F8"/>
  <w15:chartTrackingRefBased/>
  <w15:docId w15:val="{B80BA6F1-FE7D-4930-8F1C-E7CDBEB9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43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43A9"/>
    <w:rPr>
      <w:sz w:val="18"/>
      <w:szCs w:val="18"/>
    </w:rPr>
  </w:style>
  <w:style w:type="paragraph" w:styleId="a5">
    <w:name w:val="footer"/>
    <w:basedOn w:val="a"/>
    <w:link w:val="a6"/>
    <w:uiPriority w:val="99"/>
    <w:unhideWhenUsed/>
    <w:rsid w:val="00FD43A9"/>
    <w:pPr>
      <w:tabs>
        <w:tab w:val="center" w:pos="4153"/>
        <w:tab w:val="right" w:pos="8306"/>
      </w:tabs>
      <w:snapToGrid w:val="0"/>
      <w:jc w:val="left"/>
    </w:pPr>
    <w:rPr>
      <w:sz w:val="18"/>
      <w:szCs w:val="18"/>
    </w:rPr>
  </w:style>
  <w:style w:type="character" w:customStyle="1" w:styleId="a6">
    <w:name w:val="页脚 字符"/>
    <w:basedOn w:val="a0"/>
    <w:link w:val="a5"/>
    <w:uiPriority w:val="99"/>
    <w:rsid w:val="00FD43A9"/>
    <w:rPr>
      <w:sz w:val="18"/>
      <w:szCs w:val="18"/>
    </w:rPr>
  </w:style>
  <w:style w:type="paragraph" w:styleId="a7">
    <w:name w:val="List Paragraph"/>
    <w:basedOn w:val="a"/>
    <w:uiPriority w:val="34"/>
    <w:qFormat/>
    <w:rsid w:val="00DE6E6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Yanan</dc:creator>
  <cp:keywords/>
  <dc:description/>
  <cp:lastModifiedBy>Wu, Yanan</cp:lastModifiedBy>
  <cp:revision>9</cp:revision>
  <dcterms:created xsi:type="dcterms:W3CDTF">2019-07-03T09:01:00Z</dcterms:created>
  <dcterms:modified xsi:type="dcterms:W3CDTF">2019-07-04T05:38:00Z</dcterms:modified>
</cp:coreProperties>
</file>