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E3" w:rsidRPr="004E74E3" w:rsidRDefault="00F8648F" w:rsidP="004E74E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 w:val="36"/>
          <w:szCs w:val="21"/>
        </w:rPr>
      </w:pPr>
      <w:r w:rsidRPr="004E74E3">
        <w:rPr>
          <w:rFonts w:ascii="Arial" w:eastAsia="宋体" w:hAnsi="Arial" w:cs="Arial"/>
          <w:b/>
          <w:bCs/>
          <w:kern w:val="36"/>
          <w:sz w:val="36"/>
          <w:szCs w:val="21"/>
        </w:rPr>
        <w:t>血液灌流</w:t>
      </w:r>
      <w:r w:rsidRPr="004E74E3">
        <w:rPr>
          <w:rFonts w:ascii="Arial" w:eastAsia="宋体" w:hAnsi="Arial" w:cs="Arial"/>
          <w:b/>
          <w:bCs/>
          <w:kern w:val="36"/>
          <w:sz w:val="36"/>
          <w:szCs w:val="21"/>
        </w:rPr>
        <w:t xml:space="preserve"> (HP)</w:t>
      </w:r>
      <w:r w:rsidRPr="004E74E3">
        <w:rPr>
          <w:rFonts w:ascii="Arial" w:eastAsia="宋体" w:hAnsi="Arial" w:cs="Arial"/>
          <w:b/>
          <w:bCs/>
          <w:kern w:val="36"/>
          <w:sz w:val="36"/>
          <w:szCs w:val="21"/>
        </w:rPr>
        <w:t>耗材</w:t>
      </w:r>
      <w:r w:rsidRPr="004E74E3">
        <w:rPr>
          <w:rFonts w:ascii="Arial" w:eastAsia="宋体" w:hAnsi="Arial" w:cs="Arial"/>
          <w:b/>
          <w:bCs/>
          <w:kern w:val="36"/>
          <w:sz w:val="36"/>
          <w:szCs w:val="21"/>
        </w:rPr>
        <w:t xml:space="preserve"> - </w:t>
      </w:r>
      <w:proofErr w:type="spellStart"/>
      <w:r w:rsidRPr="004E74E3">
        <w:rPr>
          <w:rFonts w:ascii="Arial" w:eastAsia="宋体" w:hAnsi="Arial" w:cs="Arial"/>
          <w:b/>
          <w:bCs/>
          <w:kern w:val="36"/>
          <w:sz w:val="36"/>
          <w:szCs w:val="21"/>
        </w:rPr>
        <w:t>Adsorba</w:t>
      </w:r>
      <w:proofErr w:type="spellEnd"/>
      <w:r w:rsidRPr="004E74E3">
        <w:rPr>
          <w:rFonts w:ascii="Arial" w:eastAsia="宋体" w:hAnsi="Arial" w:cs="Arial"/>
          <w:b/>
          <w:bCs/>
          <w:kern w:val="36"/>
          <w:sz w:val="36"/>
          <w:szCs w:val="21"/>
        </w:rPr>
        <w:t xml:space="preserve"> </w:t>
      </w:r>
      <w:r w:rsidRPr="004E74E3">
        <w:rPr>
          <w:rFonts w:ascii="Arial" w:eastAsia="宋体" w:hAnsi="Arial" w:cs="Arial"/>
          <w:b/>
          <w:bCs/>
          <w:kern w:val="36"/>
          <w:sz w:val="36"/>
          <w:szCs w:val="21"/>
        </w:rPr>
        <w:t>血液灌流器</w:t>
      </w:r>
    </w:p>
    <w:p w:rsidR="004E74E3" w:rsidRPr="004E74E3" w:rsidRDefault="004E74E3" w:rsidP="004E74E3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szCs w:val="21"/>
        </w:rPr>
      </w:pPr>
      <w:r w:rsidRPr="004E74E3">
        <w:rPr>
          <w:rFonts w:ascii="Arial" w:eastAsia="宋体" w:hAnsi="Arial" w:cs="Arial"/>
          <w:b/>
          <w:szCs w:val="21"/>
        </w:rPr>
        <w:t>什么是血液灌流（</w:t>
      </w:r>
      <w:r w:rsidRPr="004E74E3">
        <w:rPr>
          <w:rFonts w:ascii="Arial" w:eastAsia="宋体" w:hAnsi="Arial" w:cs="Arial"/>
          <w:b/>
          <w:szCs w:val="21"/>
        </w:rPr>
        <w:t>HP</w:t>
      </w:r>
      <w:r w:rsidRPr="004E74E3">
        <w:rPr>
          <w:rFonts w:ascii="Arial" w:eastAsia="宋体" w:hAnsi="Arial" w:cs="Arial"/>
          <w:b/>
          <w:szCs w:val="21"/>
        </w:rPr>
        <w:t>）</w:t>
      </w:r>
    </w:p>
    <w:p w:rsidR="004E74E3" w:rsidRDefault="004E74E3" w:rsidP="004E74E3">
      <w:pPr>
        <w:pStyle w:val="a3"/>
        <w:rPr>
          <w:rFonts w:ascii="Arial" w:hAnsi="Arial" w:cs="Arial"/>
          <w:sz w:val="21"/>
          <w:szCs w:val="21"/>
        </w:rPr>
      </w:pPr>
      <w:r w:rsidRPr="004E74E3">
        <w:rPr>
          <w:rStyle w:val="a4"/>
          <w:rFonts w:ascii="Arial" w:hAnsi="Arial" w:cs="Arial"/>
          <w:sz w:val="21"/>
          <w:szCs w:val="21"/>
        </w:rPr>
        <w:t>血液灌流</w:t>
      </w:r>
      <w:r w:rsidRPr="004E74E3">
        <w:rPr>
          <w:rFonts w:ascii="Arial" w:hAnsi="Arial" w:cs="Arial"/>
          <w:sz w:val="21"/>
          <w:szCs w:val="21"/>
        </w:rPr>
        <w:t>技术是将患者血液从体内引到体外循环系统内，通过灌流器中吸附剂非特异性吸附毒物、药物、代谢产物，达到清除这些物质的一种血液净化治疗方法或手段。与其他血液净化方式结合可形成不同的杂合式血液净化疗法。</w:t>
      </w:r>
    </w:p>
    <w:p w:rsidR="004E74E3" w:rsidRPr="004E74E3" w:rsidRDefault="004E74E3" w:rsidP="004E74E3">
      <w:pPr>
        <w:pStyle w:val="a3"/>
        <w:rPr>
          <w:rFonts w:ascii="Arial" w:hAnsi="Arial" w:cs="Arial"/>
          <w:b/>
          <w:sz w:val="21"/>
          <w:szCs w:val="21"/>
        </w:rPr>
      </w:pPr>
      <w:r w:rsidRPr="004E74E3">
        <w:rPr>
          <w:rFonts w:ascii="Arial" w:hAnsi="Arial" w:cs="Arial"/>
          <w:b/>
          <w:sz w:val="21"/>
          <w:szCs w:val="21"/>
        </w:rPr>
        <w:t>血液灌流（</w:t>
      </w:r>
      <w:r w:rsidRPr="004E74E3">
        <w:rPr>
          <w:rFonts w:ascii="Arial" w:hAnsi="Arial" w:cs="Arial"/>
          <w:b/>
          <w:sz w:val="21"/>
          <w:szCs w:val="21"/>
        </w:rPr>
        <w:t>HP</w:t>
      </w:r>
      <w:r w:rsidRPr="004E74E3">
        <w:rPr>
          <w:rFonts w:ascii="Arial" w:hAnsi="Arial" w:cs="Arial"/>
          <w:b/>
          <w:sz w:val="21"/>
          <w:szCs w:val="21"/>
        </w:rPr>
        <w:t>）的适应证</w:t>
      </w:r>
      <w:bookmarkStart w:id="0" w:name="syz"/>
      <w:bookmarkEnd w:id="0"/>
    </w:p>
    <w:p w:rsidR="004E74E3" w:rsidRPr="004E74E3" w:rsidRDefault="004E74E3" w:rsidP="004E74E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急性药物或毒物中毒。</w:t>
      </w:r>
    </w:p>
    <w:p w:rsidR="004E74E3" w:rsidRPr="004E74E3" w:rsidRDefault="004E74E3" w:rsidP="004E74E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尿毒症，尤其是顽固性瘙痒、难治性高血压。</w:t>
      </w:r>
    </w:p>
    <w:p w:rsidR="004E74E3" w:rsidRPr="004E74E3" w:rsidRDefault="004E74E3" w:rsidP="004E74E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重症肝炎，特别是暴发性肝衰竭导致的肝性脑病、高胆红素血症。</w:t>
      </w:r>
    </w:p>
    <w:p w:rsidR="004E74E3" w:rsidRPr="004E74E3" w:rsidRDefault="004E74E3" w:rsidP="004E74E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脓毒症或系统性炎症综合征。</w:t>
      </w:r>
    </w:p>
    <w:p w:rsidR="004E74E3" w:rsidRPr="004E74E3" w:rsidRDefault="004E74E3" w:rsidP="004E74E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银屑病或其他自身免疫性疾病。</w:t>
      </w:r>
    </w:p>
    <w:p w:rsidR="004E74E3" w:rsidRDefault="004E74E3" w:rsidP="004E74E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其他疾病，如精神分裂症、甲状腺危象、肿瘤化疗等。</w:t>
      </w:r>
    </w:p>
    <w:p w:rsidR="004E74E3" w:rsidRPr="004E74E3" w:rsidRDefault="004E74E3" w:rsidP="004E74E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b/>
          <w:szCs w:val="21"/>
        </w:rPr>
      </w:pPr>
      <w:proofErr w:type="spellStart"/>
      <w:r w:rsidRPr="004E74E3">
        <w:rPr>
          <w:rFonts w:ascii="Arial" w:eastAsia="宋体" w:hAnsi="Arial" w:cs="Arial"/>
          <w:b/>
          <w:szCs w:val="21"/>
        </w:rPr>
        <w:t>Adsorba</w:t>
      </w:r>
      <w:proofErr w:type="spellEnd"/>
      <w:r w:rsidRPr="004E74E3">
        <w:rPr>
          <w:rFonts w:ascii="Arial" w:eastAsia="宋体" w:hAnsi="Arial" w:cs="Arial"/>
          <w:b/>
          <w:szCs w:val="21"/>
        </w:rPr>
        <w:t xml:space="preserve"> </w:t>
      </w:r>
      <w:r w:rsidRPr="004E74E3">
        <w:rPr>
          <w:rFonts w:ascii="Arial" w:eastAsia="宋体" w:hAnsi="Arial" w:cs="Arial"/>
          <w:b/>
          <w:szCs w:val="21"/>
        </w:rPr>
        <w:t>血液灌流器</w:t>
      </w:r>
    </w:p>
    <w:p w:rsidR="00F8648F" w:rsidRPr="004E74E3" w:rsidRDefault="00F8648F" w:rsidP="00F8648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Cs w:val="21"/>
        </w:rPr>
      </w:pPr>
      <w:r w:rsidRPr="004E74E3">
        <w:rPr>
          <w:rFonts w:ascii="Arial" w:eastAsia="宋体" w:hAnsi="Arial" w:cs="Arial"/>
          <w:szCs w:val="21"/>
        </w:rPr>
        <w:t>强力吸附</w:t>
      </w:r>
      <w:r w:rsidRPr="004E74E3">
        <w:rPr>
          <w:rFonts w:ascii="Arial" w:eastAsia="宋体" w:hAnsi="Arial" w:cs="Arial"/>
          <w:szCs w:val="21"/>
        </w:rPr>
        <w:t xml:space="preserve"> </w:t>
      </w:r>
      <w:r w:rsidRPr="004E74E3">
        <w:rPr>
          <w:rFonts w:ascii="Arial" w:eastAsia="宋体" w:hAnsi="Arial" w:cs="Arial"/>
          <w:szCs w:val="21"/>
        </w:rPr>
        <w:t>快速解毒</w:t>
      </w:r>
    </w:p>
    <w:p w:rsidR="00F8648F" w:rsidRPr="004E74E3" w:rsidRDefault="00F8648F" w:rsidP="00F8648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Cs w:val="21"/>
        </w:rPr>
      </w:pPr>
      <w:r w:rsidRPr="004E74E3">
        <w:rPr>
          <w:rFonts w:ascii="Arial" w:eastAsia="宋体" w:hAnsi="Arial" w:cs="Arial"/>
          <w:noProof/>
          <w:szCs w:val="21"/>
        </w:rPr>
        <w:drawing>
          <wp:inline distT="0" distB="0" distL="0" distR="0">
            <wp:extent cx="3810000" cy="3810000"/>
            <wp:effectExtent l="0" t="0" r="0" b="0"/>
            <wp:docPr id="3" name="图片 3" descr="http://www.baxter.com.cn/images/healthcare_professionals/jizhongzheng/xueyeguan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xter.com.cn/images/healthcare_professionals/jizhongzheng/xueyeguanli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8F" w:rsidRPr="004E74E3" w:rsidRDefault="00F8648F" w:rsidP="00F8648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广泛吸附谱</w:t>
      </w:r>
    </w:p>
    <w:p w:rsidR="00F8648F" w:rsidRPr="004E74E3" w:rsidRDefault="00F8648F" w:rsidP="00F8648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有效吸附面积最高可达</w:t>
      </w:r>
      <w:r w:rsidRPr="004E74E3">
        <w:rPr>
          <w:rFonts w:ascii="Arial" w:eastAsia="宋体" w:hAnsi="Arial" w:cs="Arial"/>
          <w:szCs w:val="21"/>
        </w:rPr>
        <w:t xml:space="preserve"> 300,000m</w:t>
      </w:r>
      <w:r w:rsidRPr="004E74E3">
        <w:rPr>
          <w:rFonts w:ascii="Arial" w:eastAsia="宋体" w:hAnsi="Arial" w:cs="Arial"/>
          <w:szCs w:val="21"/>
          <w:vertAlign w:val="superscript"/>
        </w:rPr>
        <w:t>2</w:t>
      </w:r>
    </w:p>
    <w:p w:rsidR="00F8648F" w:rsidRPr="004E74E3" w:rsidRDefault="00F8648F" w:rsidP="00F8648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lastRenderedPageBreak/>
        <w:t>使用高生物相容性的纤维素膜包裹活性炭</w:t>
      </w:r>
    </w:p>
    <w:p w:rsidR="00F8648F" w:rsidRPr="004E74E3" w:rsidRDefault="00F8648F" w:rsidP="00F8648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有效防止细小颗粒释放，提高生物相容性</w:t>
      </w:r>
    </w:p>
    <w:p w:rsidR="00F8648F" w:rsidRPr="004E74E3" w:rsidRDefault="00F8648F" w:rsidP="00F8648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显著减少血液成分的丢失</w:t>
      </w:r>
    </w:p>
    <w:p w:rsidR="00F8648F" w:rsidRPr="004E74E3" w:rsidRDefault="00F8648F" w:rsidP="00F8648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4E74E3">
        <w:rPr>
          <w:rFonts w:ascii="Arial" w:eastAsia="宋体" w:hAnsi="Arial" w:cs="Arial"/>
          <w:szCs w:val="21"/>
        </w:rPr>
        <w:t>减少有益因子的损失</w:t>
      </w:r>
    </w:p>
    <w:p w:rsidR="00F8648F" w:rsidRPr="004E74E3" w:rsidRDefault="00F8648F" w:rsidP="00F8648F">
      <w:pPr>
        <w:pStyle w:val="a3"/>
        <w:rPr>
          <w:rFonts w:ascii="Arial" w:hAnsi="Arial" w:cs="Arial"/>
          <w:sz w:val="21"/>
          <w:szCs w:val="21"/>
        </w:rPr>
      </w:pPr>
      <w:r w:rsidRPr="004E74E3">
        <w:rPr>
          <w:rFonts w:ascii="Arial" w:hAnsi="Arial" w:cs="Arial"/>
          <w:sz w:val="21"/>
          <w:szCs w:val="21"/>
        </w:rPr>
        <w:t> </w:t>
      </w:r>
      <w:bookmarkStart w:id="1" w:name="_GoBack"/>
      <w:bookmarkEnd w:id="1"/>
    </w:p>
    <w:p w:rsidR="00F8648F" w:rsidRPr="004E74E3" w:rsidRDefault="00F8648F" w:rsidP="00F8648F">
      <w:pPr>
        <w:pStyle w:val="2"/>
        <w:rPr>
          <w:rFonts w:ascii="Arial" w:eastAsia="宋体" w:hAnsi="Arial" w:cs="Arial"/>
          <w:sz w:val="21"/>
          <w:szCs w:val="21"/>
        </w:rPr>
      </w:pPr>
      <w:proofErr w:type="spellStart"/>
      <w:r w:rsidRPr="004E74E3">
        <w:rPr>
          <w:rFonts w:ascii="Arial" w:eastAsia="宋体" w:hAnsi="Arial" w:cs="Arial"/>
          <w:sz w:val="21"/>
          <w:szCs w:val="21"/>
        </w:rPr>
        <w:t>Adsorba</w:t>
      </w:r>
      <w:proofErr w:type="spellEnd"/>
      <w:r w:rsidRPr="004E74E3">
        <w:rPr>
          <w:rFonts w:ascii="Arial" w:eastAsia="宋体" w:hAnsi="Arial" w:cs="Arial"/>
          <w:sz w:val="21"/>
          <w:szCs w:val="21"/>
        </w:rPr>
        <w:t xml:space="preserve"> </w:t>
      </w:r>
      <w:r w:rsidRPr="004E74E3">
        <w:rPr>
          <w:rFonts w:ascii="Arial" w:eastAsia="宋体" w:hAnsi="Arial" w:cs="Arial"/>
          <w:sz w:val="21"/>
          <w:szCs w:val="21"/>
        </w:rPr>
        <w:t>血液灌流器</w:t>
      </w:r>
      <w:r w:rsidRPr="004E74E3">
        <w:rPr>
          <w:rFonts w:ascii="Arial" w:eastAsia="宋体" w:hAnsi="Arial" w:cs="Arial"/>
          <w:sz w:val="21"/>
          <w:szCs w:val="21"/>
        </w:rPr>
        <w:t xml:space="preserve"> - </w:t>
      </w:r>
      <w:r w:rsidRPr="004E74E3">
        <w:rPr>
          <w:rFonts w:ascii="Arial" w:eastAsia="宋体" w:hAnsi="Arial" w:cs="Arial"/>
          <w:sz w:val="21"/>
          <w:szCs w:val="21"/>
        </w:rPr>
        <w:t>血液灌流器及管路配套</w:t>
      </w:r>
    </w:p>
    <w:tbl>
      <w:tblPr>
        <w:tblW w:w="63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2164"/>
        <w:gridCol w:w="1098"/>
        <w:gridCol w:w="1497"/>
        <w:gridCol w:w="864"/>
      </w:tblGrid>
      <w:tr w:rsidR="00F8648F" w:rsidRPr="004E74E3" w:rsidTr="00F8648F">
        <w:trPr>
          <w:tblCellSpacing w:w="7" w:type="dxa"/>
        </w:trPr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货号</w:t>
            </w:r>
          </w:p>
        </w:tc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型号</w:t>
            </w:r>
          </w:p>
        </w:tc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含活性炭重量</w:t>
            </w:r>
          </w:p>
        </w:tc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适用范围</w:t>
            </w:r>
          </w:p>
        </w:tc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包装规格</w:t>
            </w:r>
          </w:p>
        </w:tc>
      </w:tr>
      <w:tr w:rsidR="00F8648F" w:rsidRPr="004E74E3" w:rsidTr="00F8648F">
        <w:trPr>
          <w:tblCellSpacing w:w="7" w:type="dxa"/>
        </w:trPr>
        <w:tc>
          <w:tcPr>
            <w:tcW w:w="0" w:type="auto"/>
            <w:hideMark/>
          </w:tcPr>
          <w:p w:rsidR="00F8648F" w:rsidRPr="004E74E3" w:rsidRDefault="00F8648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107642</w:t>
            </w:r>
          </w:p>
        </w:tc>
        <w:tc>
          <w:tcPr>
            <w:tcW w:w="0" w:type="auto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proofErr w:type="spellStart"/>
            <w:r w:rsidRPr="004E74E3">
              <w:rPr>
                <w:rFonts w:ascii="Arial" w:eastAsia="宋体" w:hAnsi="Arial" w:cs="Arial"/>
                <w:szCs w:val="21"/>
              </w:rPr>
              <w:t>Prismaflex</w:t>
            </w:r>
            <w:proofErr w:type="spellEnd"/>
            <w:r w:rsidRPr="004E74E3">
              <w:rPr>
                <w:rFonts w:ascii="Arial" w:eastAsia="宋体" w:hAnsi="Arial" w:cs="Arial"/>
                <w:szCs w:val="21"/>
              </w:rPr>
              <w:t xml:space="preserve"> </w:t>
            </w:r>
            <w:proofErr w:type="spellStart"/>
            <w:r w:rsidRPr="004E74E3">
              <w:rPr>
                <w:rFonts w:ascii="Arial" w:eastAsia="宋体" w:hAnsi="Arial" w:cs="Arial"/>
                <w:szCs w:val="21"/>
              </w:rPr>
              <w:t>Adsorba</w:t>
            </w:r>
            <w:proofErr w:type="spellEnd"/>
            <w:r w:rsidRPr="004E74E3">
              <w:rPr>
                <w:rFonts w:ascii="Arial" w:eastAsia="宋体" w:hAnsi="Arial" w:cs="Arial"/>
                <w:szCs w:val="21"/>
              </w:rPr>
              <w:t xml:space="preserve"> 150 Kit</w:t>
            </w:r>
          </w:p>
        </w:tc>
        <w:tc>
          <w:tcPr>
            <w:tcW w:w="0" w:type="auto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150g</w:t>
            </w:r>
          </w:p>
        </w:tc>
        <w:tc>
          <w:tcPr>
            <w:tcW w:w="0" w:type="auto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儿童或体型较小成人</w:t>
            </w:r>
          </w:p>
        </w:tc>
        <w:tc>
          <w:tcPr>
            <w:tcW w:w="0" w:type="auto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1pc/box</w:t>
            </w:r>
          </w:p>
        </w:tc>
      </w:tr>
      <w:tr w:rsidR="00F8648F" w:rsidRPr="004E74E3" w:rsidTr="00F8648F">
        <w:trPr>
          <w:tblCellSpacing w:w="7" w:type="dxa"/>
        </w:trPr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107641</w:t>
            </w:r>
          </w:p>
        </w:tc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proofErr w:type="spellStart"/>
            <w:r w:rsidRPr="004E74E3">
              <w:rPr>
                <w:rFonts w:ascii="Arial" w:eastAsia="宋体" w:hAnsi="Arial" w:cs="Arial"/>
                <w:szCs w:val="21"/>
              </w:rPr>
              <w:t>Prismaflex</w:t>
            </w:r>
            <w:proofErr w:type="spellEnd"/>
            <w:r w:rsidRPr="004E74E3">
              <w:rPr>
                <w:rFonts w:ascii="Arial" w:eastAsia="宋体" w:hAnsi="Arial" w:cs="Arial"/>
                <w:szCs w:val="21"/>
              </w:rPr>
              <w:t xml:space="preserve"> </w:t>
            </w:r>
            <w:proofErr w:type="spellStart"/>
            <w:r w:rsidRPr="004E74E3">
              <w:rPr>
                <w:rFonts w:ascii="Arial" w:eastAsia="宋体" w:hAnsi="Arial" w:cs="Arial"/>
                <w:szCs w:val="21"/>
              </w:rPr>
              <w:t>Adsorba</w:t>
            </w:r>
            <w:proofErr w:type="spellEnd"/>
            <w:r w:rsidRPr="004E74E3">
              <w:rPr>
                <w:rFonts w:ascii="Arial" w:eastAsia="宋体" w:hAnsi="Arial" w:cs="Arial"/>
                <w:szCs w:val="21"/>
              </w:rPr>
              <w:t xml:space="preserve"> 300 Kit</w:t>
            </w:r>
          </w:p>
        </w:tc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300g</w:t>
            </w:r>
          </w:p>
        </w:tc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成人</w:t>
            </w:r>
          </w:p>
        </w:tc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1pc/box</w:t>
            </w:r>
          </w:p>
        </w:tc>
      </w:tr>
    </w:tbl>
    <w:p w:rsidR="00F8648F" w:rsidRPr="004E74E3" w:rsidRDefault="00F8648F" w:rsidP="00F8648F">
      <w:pPr>
        <w:pStyle w:val="a3"/>
        <w:rPr>
          <w:rFonts w:ascii="Arial" w:hAnsi="Arial" w:cs="Arial"/>
          <w:sz w:val="21"/>
          <w:szCs w:val="21"/>
        </w:rPr>
      </w:pPr>
      <w:r w:rsidRPr="004E74E3">
        <w:rPr>
          <w:rFonts w:ascii="Arial" w:hAnsi="Arial" w:cs="Arial"/>
          <w:sz w:val="21"/>
          <w:szCs w:val="21"/>
        </w:rPr>
        <w:t> </w:t>
      </w:r>
    </w:p>
    <w:p w:rsidR="00F8648F" w:rsidRPr="004E74E3" w:rsidRDefault="00F8648F" w:rsidP="00F8648F">
      <w:pPr>
        <w:pStyle w:val="2"/>
        <w:rPr>
          <w:rFonts w:ascii="Arial" w:eastAsia="宋体" w:hAnsi="Arial" w:cs="Arial"/>
          <w:sz w:val="21"/>
          <w:szCs w:val="21"/>
        </w:rPr>
      </w:pPr>
      <w:proofErr w:type="spellStart"/>
      <w:r w:rsidRPr="004E74E3">
        <w:rPr>
          <w:rFonts w:ascii="Arial" w:eastAsia="宋体" w:hAnsi="Arial" w:cs="Arial"/>
          <w:sz w:val="21"/>
          <w:szCs w:val="21"/>
        </w:rPr>
        <w:t>Adsorba</w:t>
      </w:r>
      <w:proofErr w:type="spellEnd"/>
      <w:r w:rsidRPr="004E74E3">
        <w:rPr>
          <w:rFonts w:ascii="Arial" w:eastAsia="宋体" w:hAnsi="Arial" w:cs="Arial"/>
          <w:sz w:val="21"/>
          <w:szCs w:val="21"/>
        </w:rPr>
        <w:t xml:space="preserve"> </w:t>
      </w:r>
      <w:r w:rsidRPr="004E74E3">
        <w:rPr>
          <w:rFonts w:ascii="Arial" w:eastAsia="宋体" w:hAnsi="Arial" w:cs="Arial"/>
          <w:sz w:val="21"/>
          <w:szCs w:val="21"/>
        </w:rPr>
        <w:t>血液灌流器</w:t>
      </w:r>
      <w:r w:rsidRPr="004E74E3">
        <w:rPr>
          <w:rFonts w:ascii="Arial" w:eastAsia="宋体" w:hAnsi="Arial" w:cs="Arial"/>
          <w:sz w:val="21"/>
          <w:szCs w:val="21"/>
        </w:rPr>
        <w:t xml:space="preserve"> - </w:t>
      </w:r>
      <w:r w:rsidRPr="004E74E3">
        <w:rPr>
          <w:rFonts w:ascii="Arial" w:eastAsia="宋体" w:hAnsi="Arial" w:cs="Arial"/>
          <w:sz w:val="21"/>
          <w:szCs w:val="21"/>
        </w:rPr>
        <w:t>单支装一次性使用血液灌流器</w:t>
      </w:r>
    </w:p>
    <w:tbl>
      <w:tblPr>
        <w:tblW w:w="63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414"/>
        <w:gridCol w:w="1329"/>
        <w:gridCol w:w="1972"/>
        <w:gridCol w:w="909"/>
      </w:tblGrid>
      <w:tr w:rsidR="00F8648F" w:rsidRPr="004E74E3" w:rsidTr="00F8648F">
        <w:trPr>
          <w:tblCellSpacing w:w="7" w:type="dxa"/>
        </w:trPr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货号</w:t>
            </w:r>
          </w:p>
        </w:tc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型号</w:t>
            </w:r>
          </w:p>
        </w:tc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含活性炭重量</w:t>
            </w:r>
          </w:p>
        </w:tc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适用范围</w:t>
            </w:r>
          </w:p>
        </w:tc>
        <w:tc>
          <w:tcPr>
            <w:tcW w:w="0" w:type="auto"/>
            <w:shd w:val="clear" w:color="auto" w:fill="2B2B88"/>
            <w:hideMark/>
          </w:tcPr>
          <w:p w:rsidR="00F8648F" w:rsidRPr="004E74E3" w:rsidRDefault="00F8648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color w:val="FFFFFF"/>
                <w:szCs w:val="21"/>
              </w:rPr>
              <w:t>包装规格</w:t>
            </w:r>
          </w:p>
        </w:tc>
      </w:tr>
      <w:tr w:rsidR="00F8648F" w:rsidRPr="004E74E3" w:rsidTr="00F8648F">
        <w:trPr>
          <w:tblCellSpacing w:w="7" w:type="dxa"/>
        </w:trPr>
        <w:tc>
          <w:tcPr>
            <w:tcW w:w="0" w:type="auto"/>
            <w:hideMark/>
          </w:tcPr>
          <w:p w:rsidR="00F8648F" w:rsidRPr="004E74E3" w:rsidRDefault="00F8648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115263</w:t>
            </w:r>
          </w:p>
        </w:tc>
        <w:tc>
          <w:tcPr>
            <w:tcW w:w="0" w:type="auto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proofErr w:type="spellStart"/>
            <w:r w:rsidRPr="004E74E3">
              <w:rPr>
                <w:rFonts w:ascii="Arial" w:eastAsia="宋体" w:hAnsi="Arial" w:cs="Arial"/>
                <w:szCs w:val="21"/>
              </w:rPr>
              <w:t>Adsorba</w:t>
            </w:r>
            <w:proofErr w:type="spellEnd"/>
            <w:r w:rsidRPr="004E74E3">
              <w:rPr>
                <w:rFonts w:ascii="Arial" w:eastAsia="宋体" w:hAnsi="Arial" w:cs="Arial"/>
                <w:szCs w:val="21"/>
              </w:rPr>
              <w:t xml:space="preserve"> 150C</w:t>
            </w:r>
          </w:p>
        </w:tc>
        <w:tc>
          <w:tcPr>
            <w:tcW w:w="0" w:type="auto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150g</w:t>
            </w:r>
          </w:p>
        </w:tc>
        <w:tc>
          <w:tcPr>
            <w:tcW w:w="0" w:type="auto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儿童或体型较小成人</w:t>
            </w:r>
          </w:p>
        </w:tc>
        <w:tc>
          <w:tcPr>
            <w:tcW w:w="0" w:type="auto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6pcs/box</w:t>
            </w:r>
          </w:p>
        </w:tc>
      </w:tr>
      <w:tr w:rsidR="00F8648F" w:rsidRPr="004E74E3" w:rsidTr="00F8648F">
        <w:trPr>
          <w:tblCellSpacing w:w="7" w:type="dxa"/>
        </w:trPr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115264</w:t>
            </w:r>
          </w:p>
        </w:tc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proofErr w:type="spellStart"/>
            <w:r w:rsidRPr="004E74E3">
              <w:rPr>
                <w:rFonts w:ascii="Arial" w:eastAsia="宋体" w:hAnsi="Arial" w:cs="Arial"/>
                <w:szCs w:val="21"/>
              </w:rPr>
              <w:t>Adsorba</w:t>
            </w:r>
            <w:proofErr w:type="spellEnd"/>
            <w:r w:rsidRPr="004E74E3">
              <w:rPr>
                <w:rFonts w:ascii="Arial" w:eastAsia="宋体" w:hAnsi="Arial" w:cs="Arial"/>
                <w:szCs w:val="21"/>
              </w:rPr>
              <w:t xml:space="preserve"> 300C</w:t>
            </w:r>
          </w:p>
        </w:tc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300g</w:t>
            </w:r>
          </w:p>
        </w:tc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成人</w:t>
            </w:r>
          </w:p>
        </w:tc>
        <w:tc>
          <w:tcPr>
            <w:tcW w:w="0" w:type="auto"/>
            <w:shd w:val="clear" w:color="auto" w:fill="E6E0F5"/>
            <w:hideMark/>
          </w:tcPr>
          <w:p w:rsidR="00F8648F" w:rsidRPr="004E74E3" w:rsidRDefault="00F8648F">
            <w:pPr>
              <w:rPr>
                <w:rFonts w:ascii="Arial" w:eastAsia="宋体" w:hAnsi="Arial" w:cs="Arial"/>
                <w:szCs w:val="21"/>
              </w:rPr>
            </w:pPr>
            <w:r w:rsidRPr="004E74E3">
              <w:rPr>
                <w:rFonts w:ascii="Arial" w:eastAsia="宋体" w:hAnsi="Arial" w:cs="Arial"/>
                <w:szCs w:val="21"/>
              </w:rPr>
              <w:t>6pcs/box</w:t>
            </w:r>
          </w:p>
        </w:tc>
      </w:tr>
    </w:tbl>
    <w:p w:rsidR="00F8648F" w:rsidRPr="004E74E3" w:rsidRDefault="00F8648F" w:rsidP="00F8648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Cs w:val="21"/>
        </w:rPr>
      </w:pPr>
    </w:p>
    <w:p w:rsidR="00F8648F" w:rsidRPr="004E74E3" w:rsidRDefault="00F8648F" w:rsidP="00F8648F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Cs w:val="21"/>
        </w:rPr>
      </w:pPr>
    </w:p>
    <w:p w:rsidR="00612718" w:rsidRPr="004E74E3" w:rsidRDefault="00612718">
      <w:pPr>
        <w:rPr>
          <w:rFonts w:ascii="Arial" w:eastAsia="宋体" w:hAnsi="Arial" w:cs="Arial"/>
          <w:szCs w:val="21"/>
        </w:rPr>
      </w:pPr>
    </w:p>
    <w:p w:rsidR="00F8648F" w:rsidRPr="004E74E3" w:rsidRDefault="00F8648F">
      <w:pPr>
        <w:rPr>
          <w:rFonts w:ascii="Arial" w:eastAsia="宋体" w:hAnsi="Arial" w:cs="Arial"/>
          <w:szCs w:val="21"/>
        </w:rPr>
      </w:pPr>
    </w:p>
    <w:sectPr w:rsidR="00F8648F" w:rsidRPr="004E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9E1"/>
    <w:multiLevelType w:val="multilevel"/>
    <w:tmpl w:val="AAB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30029"/>
    <w:multiLevelType w:val="multilevel"/>
    <w:tmpl w:val="AD5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8F"/>
    <w:rsid w:val="004E74E3"/>
    <w:rsid w:val="00612718"/>
    <w:rsid w:val="00F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F59C"/>
  <w15:chartTrackingRefBased/>
  <w15:docId w15:val="{C9F4018B-6058-4F29-8D14-86F021D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64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64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64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F864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864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74E3"/>
    <w:rPr>
      <w:b/>
      <w:bCs/>
    </w:rPr>
  </w:style>
  <w:style w:type="character" w:styleId="a5">
    <w:name w:val="Hyperlink"/>
    <w:basedOn w:val="a0"/>
    <w:uiPriority w:val="99"/>
    <w:semiHidden/>
    <w:unhideWhenUsed/>
    <w:rsid w:val="004E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Baxter Healthcare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3</cp:revision>
  <dcterms:created xsi:type="dcterms:W3CDTF">2019-06-26T08:19:00Z</dcterms:created>
  <dcterms:modified xsi:type="dcterms:W3CDTF">2019-06-26T08:59:00Z</dcterms:modified>
</cp:coreProperties>
</file>